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45A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b/>
          <w:bCs/>
          <w:sz w:val="21"/>
          <w:szCs w:val="21"/>
          <w:lang w:val="en-US" w:eastAsia="zh-CN"/>
        </w:rPr>
      </w:pPr>
      <w:r>
        <w:rPr>
          <w:rFonts w:hint="default" w:ascii="Arial" w:hAnsi="Arial" w:eastAsia="宋体" w:cs="Arial"/>
          <w:b/>
          <w:bCs/>
          <w:sz w:val="21"/>
          <w:szCs w:val="21"/>
          <w:lang w:val="en-US" w:eastAsia="zh-CN"/>
        </w:rPr>
        <w:t>Indoor Full Color LED Video Wall</w:t>
      </w:r>
      <w:r>
        <w:rPr>
          <w:rFonts w:hint="eastAsia" w:ascii="Arial" w:hAnsi="Arial" w:eastAsia="宋体" w:cs="Arial"/>
          <w:b/>
          <w:bCs/>
          <w:sz w:val="21"/>
          <w:szCs w:val="21"/>
          <w:lang w:val="en-US" w:eastAsia="zh-CN"/>
        </w:rPr>
        <w:t xml:space="preserve"> C1.25 (C1.25-4:3)</w:t>
      </w:r>
    </w:p>
    <w:p w14:paraId="5BC1E2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1847850" cy="721360"/>
            <wp:effectExtent l="0" t="0" r="0" b="2540"/>
            <wp:docPr id="3" name="图片 3" descr="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4：3"/>
                    <pic:cNvPicPr>
                      <a:picLocks noChangeAspect="1"/>
                    </pic:cNvPicPr>
                  </pic:nvPicPr>
                  <pic:blipFill>
                    <a:blip r:embed="rId5"/>
                    <a:stretch>
                      <a:fillRect/>
                    </a:stretch>
                  </pic:blipFill>
                  <pic:spPr>
                    <a:xfrm>
                      <a:off x="0" y="0"/>
                      <a:ext cx="1847850" cy="721360"/>
                    </a:xfrm>
                    <a:prstGeom prst="rect">
                      <a:avLst/>
                    </a:prstGeom>
                  </pic:spPr>
                </pic:pic>
              </a:graphicData>
            </a:graphic>
          </wp:inline>
        </w:drawing>
      </w:r>
    </w:p>
    <w:p w14:paraId="400B40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14:paraId="77CF69A2">
      <w:pPr>
        <w:spacing w:line="360" w:lineRule="auto"/>
        <w:rPr>
          <w:rFonts w:ascii="Arial" w:hAnsi="Arial" w:eastAsia="宋体" w:cs="Arial"/>
          <w:b/>
          <w:bCs/>
          <w:szCs w:val="21"/>
          <w:lang w:val="en-US"/>
        </w:rPr>
      </w:pPr>
      <w:r>
        <w:rPr>
          <w:rFonts w:hint="eastAsia" w:ascii="Arial" w:hAnsi="Arial" w:eastAsia="宋体" w:cs="Arial"/>
          <w:b/>
          <w:bCs/>
          <w:szCs w:val="21"/>
          <w:lang w:val="en-US"/>
        </w:rPr>
        <w:t>D</w:t>
      </w:r>
      <w:r>
        <w:rPr>
          <w:rFonts w:ascii="Arial" w:hAnsi="Arial" w:eastAsia="宋体" w:cs="Arial"/>
          <w:b/>
          <w:bCs/>
          <w:szCs w:val="21"/>
          <w:lang w:val="en-US"/>
        </w:rPr>
        <w:t>escription</w:t>
      </w:r>
      <w:r>
        <w:rPr>
          <w:rFonts w:hint="eastAsia" w:ascii="Arial" w:hAnsi="Arial" w:eastAsia="宋体" w:cs="Arial"/>
          <w:b/>
          <w:bCs/>
          <w:szCs w:val="21"/>
          <w:lang w:val="en-US"/>
        </w:rPr>
        <w:t xml:space="preserve"> </w:t>
      </w:r>
    </w:p>
    <w:p w14:paraId="45DC1B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b w:val="0"/>
          <w:bCs w:val="0"/>
          <w:sz w:val="21"/>
          <w:szCs w:val="21"/>
          <w:lang w:val="en-US" w:eastAsia="zh-CN"/>
        </w:rPr>
      </w:pPr>
      <w:r>
        <w:rPr>
          <w:rFonts w:hint="default" w:ascii="Arial" w:hAnsi="Arial" w:eastAsia="宋体" w:cs="Arial"/>
          <w:b w:val="0"/>
          <w:bCs w:val="0"/>
          <w:sz w:val="21"/>
          <w:szCs w:val="21"/>
          <w:lang w:val="en-US" w:eastAsia="zh-CN"/>
        </w:rPr>
        <w:t>It has the characteristics of seamless</w:t>
      </w:r>
      <w:r>
        <w:rPr>
          <w:rFonts w:hint="eastAsia" w:ascii="Arial" w:hAnsi="Arial" w:eastAsia="宋体" w:cs="Arial"/>
          <w:b w:val="0"/>
          <w:bCs w:val="0"/>
          <w:sz w:val="21"/>
          <w:szCs w:val="21"/>
          <w:lang w:val="en-US" w:eastAsia="zh-CN"/>
        </w:rPr>
        <w:t xml:space="preserve"> splicing</w:t>
      </w:r>
      <w:r>
        <w:rPr>
          <w:rFonts w:hint="default" w:ascii="Arial" w:hAnsi="Arial" w:eastAsia="宋体" w:cs="Arial"/>
          <w:b w:val="0"/>
          <w:bCs w:val="0"/>
          <w:sz w:val="21"/>
          <w:szCs w:val="21"/>
          <w:lang w:val="en-US" w:eastAsia="zh-CN"/>
        </w:rPr>
        <w:t>, perfect display, long service life</w:t>
      </w:r>
      <w:r>
        <w:rPr>
          <w:rFonts w:hint="eastAsia" w:ascii="Arial" w:hAnsi="Arial" w:eastAsia="宋体" w:cs="Arial"/>
          <w:b w:val="0"/>
          <w:bCs w:val="0"/>
          <w:sz w:val="21"/>
          <w:szCs w:val="21"/>
          <w:lang w:val="en-US" w:eastAsia="zh-CN"/>
        </w:rPr>
        <w:t>span</w:t>
      </w:r>
      <w:r>
        <w:rPr>
          <w:rFonts w:hint="default" w:ascii="Arial" w:hAnsi="Arial" w:eastAsia="宋体" w:cs="Arial"/>
          <w:b w:val="0"/>
          <w:bCs w:val="0"/>
          <w:sz w:val="21"/>
          <w:szCs w:val="21"/>
          <w:lang w:val="en-US" w:eastAsia="zh-CN"/>
        </w:rPr>
        <w:t>, fast frame changing speed, high refresh rate, good uniformity, wide viewing angle, high grayscale, natural color reproduction, etc. It is widely used in command and dispatch, security monitoring, video conferenc</w:t>
      </w:r>
      <w:r>
        <w:rPr>
          <w:rFonts w:hint="eastAsia" w:ascii="Arial" w:hAnsi="Arial" w:eastAsia="宋体" w:cs="Arial"/>
          <w:b w:val="0"/>
          <w:bCs w:val="0"/>
          <w:sz w:val="21"/>
          <w:szCs w:val="21"/>
          <w:lang w:val="en-US" w:eastAsia="zh-CN"/>
        </w:rPr>
        <w:t>e</w:t>
      </w:r>
      <w:r>
        <w:rPr>
          <w:rFonts w:hint="default" w:ascii="Arial" w:hAnsi="Arial" w:eastAsia="宋体" w:cs="Arial"/>
          <w:b w:val="0"/>
          <w:bCs w:val="0"/>
          <w:sz w:val="21"/>
          <w:szCs w:val="21"/>
          <w:lang w:val="en-US" w:eastAsia="zh-CN"/>
        </w:rPr>
        <w:t>, studio display, and various conference</w:t>
      </w:r>
      <w:r>
        <w:rPr>
          <w:rFonts w:hint="eastAsia" w:ascii="Arial" w:hAnsi="Arial" w:eastAsia="宋体" w:cs="Arial"/>
          <w:b w:val="0"/>
          <w:bCs w:val="0"/>
          <w:sz w:val="21"/>
          <w:szCs w:val="21"/>
          <w:lang w:val="en-US" w:eastAsia="zh-CN"/>
        </w:rPr>
        <w:t xml:space="preserve"> </w:t>
      </w:r>
      <w:r>
        <w:rPr>
          <w:rFonts w:hint="default" w:ascii="Arial" w:hAnsi="Arial" w:eastAsia="宋体" w:cs="Arial"/>
          <w:b w:val="0"/>
          <w:bCs w:val="0"/>
          <w:sz w:val="21"/>
          <w:szCs w:val="21"/>
          <w:lang w:val="en-US" w:eastAsia="zh-CN"/>
        </w:rPr>
        <w:t xml:space="preserve">display </w:t>
      </w:r>
      <w:r>
        <w:rPr>
          <w:rFonts w:hint="eastAsia" w:ascii="Arial" w:hAnsi="Arial" w:eastAsia="宋体" w:cs="Arial"/>
          <w:b w:val="0"/>
          <w:bCs w:val="0"/>
          <w:sz w:val="21"/>
          <w:szCs w:val="21"/>
          <w:lang w:val="en-US" w:eastAsia="zh-CN"/>
        </w:rPr>
        <w:t>occasions</w:t>
      </w:r>
      <w:r>
        <w:rPr>
          <w:rFonts w:hint="default" w:ascii="Arial" w:hAnsi="Arial" w:eastAsia="宋体" w:cs="Arial"/>
          <w:b w:val="0"/>
          <w:bCs w:val="0"/>
          <w:sz w:val="21"/>
          <w:szCs w:val="21"/>
          <w:lang w:val="en-US" w:eastAsia="zh-CN"/>
        </w:rPr>
        <w:t>.</w:t>
      </w:r>
    </w:p>
    <w:p w14:paraId="4C06C4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p>
    <w:p w14:paraId="19BC6CA1">
      <w:pPr>
        <w:spacing w:line="360" w:lineRule="auto"/>
        <w:rPr>
          <w:rFonts w:hint="eastAsia" w:ascii="Arial" w:hAnsi="Arial" w:eastAsia="宋体" w:cs="Arial"/>
          <w:b w:val="0"/>
          <w:bCs w:val="0"/>
          <w:sz w:val="21"/>
          <w:szCs w:val="21"/>
          <w:lang w:val="en-US" w:eastAsia="zh-CN"/>
        </w:rPr>
      </w:pPr>
      <w:r>
        <w:rPr>
          <w:rFonts w:ascii="Arial" w:hAnsi="Arial" w:eastAsia="宋体" w:cs="Arial"/>
          <w:b/>
          <w:bCs/>
          <w:szCs w:val="21"/>
          <w:lang w:val="en-US"/>
        </w:rPr>
        <w:t>Feature</w:t>
      </w:r>
      <w:r>
        <w:rPr>
          <w:rFonts w:hint="eastAsia" w:ascii="Arial" w:hAnsi="Arial" w:eastAsia="宋体" w:cs="Arial"/>
          <w:b/>
          <w:bCs/>
          <w:szCs w:val="21"/>
          <w:lang w:val="en-US" w:eastAsia="zh-CN"/>
        </w:rPr>
        <w:t>s</w:t>
      </w:r>
    </w:p>
    <w:p w14:paraId="030B7FB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screen adopts CNC one-piece die-cast aluminum cabinet.</w:t>
      </w:r>
    </w:p>
    <w:p w14:paraId="11E888C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screen module adopts a plastic-free bottom shell kit design. The die-cast aluminum cabinet is in direct contact with the PCB circuit board. The edge of the PCB circuit board directly contacts the four sides of the die-cast box to improve the thermal conductivity. Compared with the bottom shell with a plastic kit, it can better solve the color drift problem and ensure that the screen body is accelerated due to heat conduction. The aging and reduced service life of the screen are reduced. The product surface temperature rises by ≤5℃ after lighting for 5 minutes in the normal video playback state, and the temperature rise is ≤10℃ after lighting for 10 minutes.</w:t>
      </w:r>
    </w:p>
    <w:p w14:paraId="3F93278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unit module and the unit cabinet use industrial-grade precision wireless connectors, which have the ability to fine-tune and correct deviations, and the connection is more stable. The whole screen joint can be finely adjusted in units of modules to avoid the light and dark line effect between modules due to the joints. The signal cable and low-voltage power cable cannot be seen inside the cabinet, and it can be plugged in and out directly with power on.</w:t>
      </w:r>
    </w:p>
    <w:p w14:paraId="2EB14DD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screen adopts a non-contact magnetic suspension front maintenance design, which can remove low-voltage devices such as modules, receiving cards, and power supplies from the front, and has hot-swappable capabilities.</w:t>
      </w:r>
    </w:p>
    <w:p w14:paraId="5DB5828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bottom of the LED display box adopts a positioning column boss design, which can effectively prevent the module from contacting the ground during installation and transportation, resulting in knocks and lights falling off.</w:t>
      </w:r>
    </w:p>
    <w:p w14:paraId="31D37CA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In order to ensure the horizontal angle, vertical angle, and flatness of the screen installed on site and improve the final viewing experience of customers, the LED display screen has horizontal and vertical detection modules inside the LED box. The horizontal and vertical angles can be intuitively corrected on site to ensure the horizontality and verticality of the LED box structure during project construction.</w:t>
      </w:r>
    </w:p>
    <w:p w14:paraId="753809F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switching power supply of the LED display screen has a PFC function, a power factor ≥0.95, a power efficiency ≥91%@25℃, and has overcurrent, short circuit, overvoltage, and undervoltage protection functions.</w:t>
      </w:r>
    </w:p>
    <w:p w14:paraId="140DAC2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color uniformity of LED display is within ±0.001Cx,Cy; the relative deviation of the center distance of the LED display pixel is ≤1%; the mean fault recovery time (MTTR) of the LED display is ≤2 minutes.</w:t>
      </w:r>
    </w:p>
    <w:p w14:paraId="1B4AF7D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color temperature of the LED display screen is continuously adjustable from 100K to 20000K. It can be set to cold, warm, standard and other multi-level white field adjustments. When the color temperature is 8500K, the color temperature error of the four-level white field adjustment of 100%, 75%, 50%, and 25% is ≤100K.</w:t>
      </w:r>
    </w:p>
    <w:p w14:paraId="1DBF8D2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In order to prevent metal ion migration and line short circuit, the PCB of the LED display screen adopts FR-4 four-layer board of the same grade or higher material. The PCB wire is wider, and the wire spacing and via spacing are larger, which can better prevent module black screen, display abnormality, lamp bead color loss, caterpillars and other phenomena. The surface is treated with immersion gold, the board thickness is ≥1.6mm, the copper thickness is ≥1 ounce, TG ≥170℃, and the PCB board surface is moisture-proof/dust-proof/anti-static/anti-oxidation, and the mildew-proof grade is ≤1 level.</w:t>
      </w:r>
    </w:p>
    <w:p w14:paraId="42CBFFF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screen is based on the GB/T 5169.16-2017 standard. The test temperature is 650℃ and the time is 30 seconds. The burning flame or molten material of the sample should be extinguished within 30 seconds after the glow wire test. The burning flame or molten material of the sample should not cause the test paper below to burn when dripping. The flame retardant level (PCB board, wire, power supply, connector) reaches V-0 level.</w:t>
      </w:r>
    </w:p>
    <w:p w14:paraId="7498801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screen meets the EMCCLASSB anti-interference ability and requires stable operation without interference from external radio frequency electromagnetic fields.</w:t>
      </w:r>
    </w:p>
    <w:p w14:paraId="7E2D50A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back of the LED display screen box has a test button, which can realize four monochrome displays of red, green, blue and white, and scan and display in horizontal and vertical scanning. There is no need to remove the front module of the box and press the button inside the box to perform this test function.</w:t>
      </w:r>
    </w:p>
    <w:p w14:paraId="3E130CD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screen has a single power leakage current of ≤0.3mA, which eliminates the risk of leakage current formed by multiple power supplies causing tripping of the upper electric box.</w:t>
      </w:r>
    </w:p>
    <w:p w14:paraId="74F7F82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LED display has a low blue light mode. You can select 30%, 40%, and 70% in the control software to adjust the blue light output of the display, effectively reducing the damage of blue light radiation to the eyes.</w:t>
      </w:r>
    </w:p>
    <w:p w14:paraId="169800A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One box, one card, and one power supply. It can be directly mounted on the wall, embedded, or floor-mounted.</w:t>
      </w:r>
    </w:p>
    <w:p w14:paraId="4AA5C34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Arial" w:hAnsi="Arial" w:eastAsia="宋体" w:cs="Arial"/>
          <w:b w:val="0"/>
          <w:bCs w:val="0"/>
          <w:sz w:val="21"/>
          <w:szCs w:val="21"/>
          <w:lang w:val="en-US" w:eastAsia="zh-CN"/>
        </w:rPr>
      </w:pPr>
      <w:r>
        <w:rPr>
          <w:rFonts w:hint="eastAsia" w:ascii="Arial" w:hAnsi="Arial" w:eastAsia="宋体" w:cs="Arial"/>
          <w:b w:val="0"/>
          <w:bCs w:val="0"/>
          <w:sz w:val="21"/>
          <w:szCs w:val="21"/>
          <w:lang w:val="en-US" w:eastAsia="zh-CN"/>
        </w:rPr>
        <w:t>The box size adopts a 4:3 ratio design, providing an excellent visual experience and meeting the needs of the mainstream market.</w:t>
      </w:r>
    </w:p>
    <w:p w14:paraId="25D9F28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sz w:val="21"/>
          <w:szCs w:val="21"/>
          <w:lang w:val="en-US" w:eastAsia="zh-CN"/>
        </w:rPr>
      </w:pPr>
      <w:r>
        <w:rPr>
          <w:rFonts w:hint="eastAsia" w:ascii="Arial" w:hAnsi="Arial" w:eastAsia="宋体" w:cs="Arial"/>
          <w:b w:val="0"/>
          <w:bCs w:val="0"/>
          <w:sz w:val="21"/>
          <w:szCs w:val="21"/>
          <w:lang w:val="en-US" w:eastAsia="zh-CN"/>
        </w:rPr>
        <w:t>The box adopts a front-to-back installation method, which can fit the wall at a close distance, effectively save space, and achieve harmonious integration with the surrounding environment.</w:t>
      </w:r>
    </w:p>
    <w:p w14:paraId="2D3874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Arial" w:hAnsi="Arial" w:eastAsia="宋体" w:cs="Arial"/>
          <w:b/>
          <w:bCs/>
          <w:sz w:val="21"/>
          <w:szCs w:val="21"/>
          <w:lang w:val="en-US" w:eastAsia="zh-CN"/>
        </w:rPr>
        <w:t>Specification</w:t>
      </w:r>
    </w:p>
    <w:tbl>
      <w:tblPr>
        <w:tblStyle w:val="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3"/>
        <w:gridCol w:w="7199"/>
      </w:tblGrid>
      <w:tr w14:paraId="33D2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701FC89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Module parameters</w:t>
            </w:r>
          </w:p>
        </w:tc>
      </w:tr>
      <w:tr w14:paraId="7673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FE17069">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LED encapsulation</w:t>
            </w:r>
          </w:p>
        </w:tc>
        <w:tc>
          <w:tcPr>
            <w:tcW w:w="7201" w:type="dxa"/>
            <w:vAlign w:val="top"/>
          </w:tcPr>
          <w:p w14:paraId="6B803A5F">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cs="Arial"/>
              </w:rPr>
              <w:t>SMD1010 black light</w:t>
            </w:r>
          </w:p>
        </w:tc>
      </w:tr>
      <w:tr w14:paraId="65CB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21345A0B">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Pixel pitch</w:t>
            </w:r>
          </w:p>
        </w:tc>
        <w:tc>
          <w:tcPr>
            <w:tcW w:w="7201" w:type="dxa"/>
            <w:vAlign w:val="top"/>
          </w:tcPr>
          <w:p w14:paraId="7AD281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1.25mm</w:t>
            </w:r>
          </w:p>
        </w:tc>
      </w:tr>
      <w:tr w14:paraId="79C6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24357590">
            <w:pPr>
              <w:rPr>
                <w:rFonts w:hint="default" w:ascii="Arial" w:hAnsi="Arial" w:cs="Arial"/>
              </w:rPr>
            </w:pPr>
            <w:r>
              <w:rPr>
                <w:rFonts w:hint="default" w:ascii="Arial" w:hAnsi="Arial" w:eastAsia="宋体" w:cs="Arial"/>
                <w:szCs w:val="21"/>
                <w:lang w:val="en-US"/>
              </w:rPr>
              <w:t>Resolution</w:t>
            </w:r>
          </w:p>
        </w:tc>
        <w:tc>
          <w:tcPr>
            <w:tcW w:w="7201" w:type="dxa"/>
            <w:vAlign w:val="top"/>
          </w:tcPr>
          <w:p w14:paraId="3A8123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 xml:space="preserve">640000 </w:t>
            </w:r>
            <w:r>
              <w:rPr>
                <w:rFonts w:hint="default" w:ascii="Arial" w:hAnsi="Arial" w:cs="Arial"/>
              </w:rPr>
              <w:t>pixels</w:t>
            </w:r>
            <w:r>
              <w:rPr>
                <w:rFonts w:hint="default" w:ascii="Arial" w:hAnsi="Arial" w:eastAsia="宋体" w:cs="Arial"/>
                <w:b w:val="0"/>
                <w:bCs w:val="0"/>
                <w:sz w:val="21"/>
                <w:szCs w:val="21"/>
                <w:lang w:val="en-US" w:eastAsia="zh-CN"/>
              </w:rPr>
              <w:t>/m²</w:t>
            </w:r>
          </w:p>
        </w:tc>
      </w:tr>
      <w:tr w14:paraId="6229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67B4A91">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Lamp beads/IC</w:t>
            </w:r>
          </w:p>
        </w:tc>
        <w:tc>
          <w:tcPr>
            <w:tcW w:w="3617" w:type="pct"/>
          </w:tcPr>
          <w:p w14:paraId="0396334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Domestic high-quality copper wire/</w:t>
            </w:r>
            <w:r>
              <w:rPr>
                <w:rFonts w:hint="default" w:ascii="Arial" w:hAnsi="Arial" w:eastAsia="宋体" w:cs="Arial"/>
                <w:szCs w:val="21"/>
                <w:lang w:val="en-US"/>
              </w:rPr>
              <w:t>high refresh rate</w:t>
            </w:r>
          </w:p>
        </w:tc>
      </w:tr>
      <w:tr w14:paraId="61C9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1B2150E">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Pixel configuration</w:t>
            </w:r>
          </w:p>
        </w:tc>
        <w:tc>
          <w:tcPr>
            <w:tcW w:w="3617" w:type="pct"/>
          </w:tcPr>
          <w:p w14:paraId="354813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1R1G1B</w:t>
            </w:r>
          </w:p>
        </w:tc>
      </w:tr>
      <w:tr w14:paraId="1629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4630FE19">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Module resolution</w:t>
            </w:r>
          </w:p>
        </w:tc>
        <w:tc>
          <w:tcPr>
            <w:tcW w:w="3617" w:type="pct"/>
          </w:tcPr>
          <w:p w14:paraId="6D28CB8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256*128</w:t>
            </w:r>
          </w:p>
        </w:tc>
      </w:tr>
      <w:tr w14:paraId="1008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1F35DE8">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Module size (mm)</w:t>
            </w:r>
          </w:p>
        </w:tc>
        <w:tc>
          <w:tcPr>
            <w:tcW w:w="3617" w:type="pct"/>
          </w:tcPr>
          <w:p w14:paraId="1DDC64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320*160</w:t>
            </w:r>
          </w:p>
        </w:tc>
      </w:tr>
      <w:tr w14:paraId="3CB8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186FBE31">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Cabinet resolution</w:t>
            </w:r>
          </w:p>
        </w:tc>
        <w:tc>
          <w:tcPr>
            <w:tcW w:w="3617" w:type="pct"/>
          </w:tcPr>
          <w:p w14:paraId="0A07D3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512*384</w:t>
            </w:r>
          </w:p>
        </w:tc>
      </w:tr>
      <w:tr w14:paraId="2F9A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0CC06B42">
            <w:pPr>
              <w:widowControl/>
              <w:jc w:val="left"/>
              <w:textAlignment w:val="center"/>
              <w:rPr>
                <w:rFonts w:hint="default" w:ascii="Arial" w:hAnsi="Arial" w:cs="Arial"/>
              </w:rPr>
            </w:pPr>
            <w:r>
              <w:rPr>
                <w:rFonts w:hint="eastAsia" w:ascii="Arial" w:hAnsi="Arial" w:eastAsia="宋体" w:cs="Arial"/>
                <w:szCs w:val="21"/>
              </w:rPr>
              <w:t xml:space="preserve">Cabinet </w:t>
            </w:r>
            <w:r>
              <w:rPr>
                <w:rFonts w:hint="default" w:ascii="Arial" w:hAnsi="Arial" w:eastAsia="宋体" w:cs="Arial"/>
                <w:b w:val="0"/>
                <w:bCs w:val="0"/>
                <w:sz w:val="21"/>
                <w:szCs w:val="21"/>
                <w:lang w:val="en-US" w:eastAsia="zh-CN"/>
              </w:rPr>
              <w:t>size</w:t>
            </w:r>
            <w:r>
              <w:rPr>
                <w:rFonts w:hint="eastAsia" w:ascii="Arial" w:hAnsi="Arial" w:eastAsia="宋体" w:cs="Arial"/>
                <w:b w:val="0"/>
                <w:bCs w:val="0"/>
                <w:sz w:val="21"/>
                <w:szCs w:val="21"/>
                <w:lang w:val="en-US" w:eastAsia="zh-CN"/>
              </w:rPr>
              <w:t xml:space="preserve"> </w:t>
            </w:r>
            <w:r>
              <w:rPr>
                <w:rFonts w:hint="eastAsia" w:ascii="Arial" w:hAnsi="Arial" w:eastAsia="宋体" w:cs="Arial"/>
                <w:color w:val="000000"/>
                <w:kern w:val="0"/>
                <w:szCs w:val="21"/>
                <w:lang w:bidi="ar"/>
              </w:rPr>
              <w:t>(</w:t>
            </w:r>
            <w:r>
              <w:rPr>
                <w:rFonts w:ascii="Arial" w:hAnsi="Arial" w:eastAsia="宋体" w:cs="Arial"/>
                <w:color w:val="000000"/>
                <w:kern w:val="0"/>
                <w:szCs w:val="21"/>
                <w:lang w:bidi="ar"/>
              </w:rPr>
              <w:t>mm</w:t>
            </w:r>
            <w:r>
              <w:rPr>
                <w:rFonts w:hint="eastAsia" w:ascii="Arial" w:hAnsi="Arial" w:eastAsia="宋体" w:cs="Arial"/>
                <w:color w:val="000000"/>
                <w:kern w:val="0"/>
                <w:szCs w:val="21"/>
                <w:lang w:bidi="ar"/>
              </w:rPr>
              <w:t>)</w:t>
            </w:r>
          </w:p>
        </w:tc>
        <w:tc>
          <w:tcPr>
            <w:tcW w:w="3617" w:type="pct"/>
          </w:tcPr>
          <w:p w14:paraId="42B67DB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640*480*31.5</w:t>
            </w:r>
          </w:p>
        </w:tc>
      </w:tr>
      <w:tr w14:paraId="288B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74BE531A">
            <w:pPr>
              <w:widowControl/>
              <w:jc w:val="left"/>
              <w:textAlignment w:val="center"/>
              <w:rPr>
                <w:rFonts w:hint="default" w:ascii="Arial" w:hAnsi="Arial" w:cs="Arial"/>
              </w:rPr>
            </w:pPr>
            <w:r>
              <w:rPr>
                <w:rFonts w:hint="eastAsia" w:ascii="Arial" w:hAnsi="Arial" w:eastAsia="宋体" w:cs="Arial"/>
                <w:szCs w:val="21"/>
              </w:rPr>
              <w:t>Cabinet w</w:t>
            </w:r>
            <w:r>
              <w:rPr>
                <w:rFonts w:ascii="Arial" w:hAnsi="Arial" w:cs="Arial"/>
                <w:color w:val="000000"/>
                <w:kern w:val="0"/>
                <w:szCs w:val="21"/>
                <w:lang w:bidi="ar"/>
              </w:rPr>
              <w:t>eight</w:t>
            </w:r>
          </w:p>
        </w:tc>
        <w:tc>
          <w:tcPr>
            <w:tcW w:w="3617" w:type="pct"/>
          </w:tcPr>
          <w:p w14:paraId="5F80A0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≤5.7Kg/piece</w:t>
            </w:r>
          </w:p>
        </w:tc>
      </w:tr>
      <w:tr w14:paraId="3241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37570068">
            <w:pPr>
              <w:rPr>
                <w:rFonts w:hint="default" w:ascii="Arial" w:hAnsi="Arial" w:cs="Arial"/>
              </w:rPr>
            </w:pPr>
            <w:r>
              <w:rPr>
                <w:rFonts w:hint="default" w:ascii="Arial" w:hAnsi="Arial" w:eastAsia="宋体" w:cs="Arial"/>
                <w:szCs w:val="21"/>
                <w:lang w:val="en-US"/>
              </w:rPr>
              <w:t>Working voltage</w:t>
            </w:r>
          </w:p>
        </w:tc>
        <w:tc>
          <w:tcPr>
            <w:tcW w:w="3617" w:type="pct"/>
          </w:tcPr>
          <w:p w14:paraId="5C625A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DC+4.2V~+5V</w:t>
            </w:r>
          </w:p>
        </w:tc>
      </w:tr>
      <w:tr w14:paraId="016C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155EC8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Main parameters</w:t>
            </w:r>
          </w:p>
        </w:tc>
      </w:tr>
      <w:tr w14:paraId="512A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2F4919C0">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Best viewing distance</w:t>
            </w:r>
          </w:p>
        </w:tc>
        <w:tc>
          <w:tcPr>
            <w:tcW w:w="3617" w:type="pct"/>
          </w:tcPr>
          <w:p w14:paraId="6858BAD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≥3.7m</w:t>
            </w:r>
          </w:p>
        </w:tc>
      </w:tr>
      <w:tr w14:paraId="6630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16663287">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Horizontal viewing angle</w:t>
            </w:r>
          </w:p>
        </w:tc>
        <w:tc>
          <w:tcPr>
            <w:tcW w:w="3617" w:type="pct"/>
          </w:tcPr>
          <w:p w14:paraId="53F369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≥175°</w:t>
            </w:r>
          </w:p>
        </w:tc>
      </w:tr>
      <w:tr w14:paraId="565E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48EDF41">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Vertical viewing angle</w:t>
            </w:r>
          </w:p>
        </w:tc>
        <w:tc>
          <w:tcPr>
            <w:tcW w:w="3617" w:type="pct"/>
          </w:tcPr>
          <w:p w14:paraId="13B6767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≥175°</w:t>
            </w:r>
          </w:p>
        </w:tc>
      </w:tr>
      <w:tr w14:paraId="7371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ACEFC21">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Maintenance method</w:t>
            </w:r>
          </w:p>
        </w:tc>
        <w:tc>
          <w:tcPr>
            <w:tcW w:w="7201" w:type="dxa"/>
            <w:vAlign w:val="top"/>
          </w:tcPr>
          <w:p w14:paraId="36B772A7">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Front maintenance</w:t>
            </w:r>
          </w:p>
        </w:tc>
      </w:tr>
      <w:tr w14:paraId="6D72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23B9CA17">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Control mode</w:t>
            </w:r>
          </w:p>
        </w:tc>
        <w:tc>
          <w:tcPr>
            <w:tcW w:w="7201" w:type="dxa"/>
            <w:vAlign w:val="top"/>
          </w:tcPr>
          <w:p w14:paraId="31F9FB7B">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Synchronous control</w:t>
            </w:r>
          </w:p>
        </w:tc>
      </w:tr>
      <w:tr w14:paraId="6C19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34B6E53E">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Drive device</w:t>
            </w:r>
          </w:p>
        </w:tc>
        <w:tc>
          <w:tcPr>
            <w:tcW w:w="7201" w:type="dxa"/>
            <w:vAlign w:val="top"/>
          </w:tcPr>
          <w:p w14:paraId="6D179AB4">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Constant current drive</w:t>
            </w:r>
          </w:p>
        </w:tc>
      </w:tr>
      <w:tr w14:paraId="6A39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521C9A7D">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Refresh rate</w:t>
            </w:r>
          </w:p>
        </w:tc>
        <w:tc>
          <w:tcPr>
            <w:tcW w:w="3617" w:type="pct"/>
          </w:tcPr>
          <w:p w14:paraId="06341F1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≥4200Hz</w:t>
            </w:r>
          </w:p>
        </w:tc>
      </w:tr>
      <w:tr w14:paraId="5934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3D8FD126">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Frame rate</w:t>
            </w:r>
          </w:p>
        </w:tc>
        <w:tc>
          <w:tcPr>
            <w:tcW w:w="3617" w:type="pct"/>
          </w:tcPr>
          <w:p w14:paraId="60EEB2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≥60Hz</w:t>
            </w:r>
          </w:p>
        </w:tc>
      </w:tr>
      <w:tr w14:paraId="28FA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786062B">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Scanning method</w:t>
            </w:r>
          </w:p>
        </w:tc>
        <w:tc>
          <w:tcPr>
            <w:tcW w:w="3617" w:type="pct"/>
          </w:tcPr>
          <w:p w14:paraId="1F1DCA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64S</w:t>
            </w:r>
          </w:p>
        </w:tc>
      </w:tr>
      <w:tr w14:paraId="1B48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301012CD">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Brightness</w:t>
            </w:r>
          </w:p>
        </w:tc>
        <w:tc>
          <w:tcPr>
            <w:tcW w:w="3617" w:type="pct"/>
          </w:tcPr>
          <w:p w14:paraId="37E131C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0-800cd/m²</w:t>
            </w:r>
            <w:bookmarkStart w:id="0" w:name="_GoBack"/>
            <w:bookmarkEnd w:id="0"/>
          </w:p>
        </w:tc>
      </w:tr>
      <w:tr w14:paraId="41F3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2165A568">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Grayscale</w:t>
            </w:r>
          </w:p>
        </w:tc>
        <w:tc>
          <w:tcPr>
            <w:tcW w:w="3617" w:type="pct"/>
          </w:tcPr>
          <w:p w14:paraId="6136E3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12/14/16/18bit</w:t>
            </w:r>
          </w:p>
        </w:tc>
      </w:tr>
      <w:tr w14:paraId="5BB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08D825F4">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Contrast</w:t>
            </w:r>
          </w:p>
        </w:tc>
        <w:tc>
          <w:tcPr>
            <w:tcW w:w="3617" w:type="pct"/>
          </w:tcPr>
          <w:p w14:paraId="7FA28B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≥10000:1</w:t>
            </w:r>
          </w:p>
        </w:tc>
      </w:tr>
      <w:tr w14:paraId="178E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7FADB172">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cs="Arial"/>
                <w:color w:val="000000"/>
                <w:kern w:val="0"/>
                <w:szCs w:val="21"/>
                <w:lang w:bidi="ar"/>
              </w:rPr>
              <w:t>Attenuation rate (after working for 3 years)</w:t>
            </w:r>
          </w:p>
        </w:tc>
        <w:tc>
          <w:tcPr>
            <w:tcW w:w="3617" w:type="pct"/>
          </w:tcPr>
          <w:p w14:paraId="5A3878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≤15%</w:t>
            </w:r>
          </w:p>
        </w:tc>
      </w:tr>
      <w:tr w14:paraId="4066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51256FC3">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Brightness adjustment method</w:t>
            </w:r>
          </w:p>
        </w:tc>
        <w:tc>
          <w:tcPr>
            <w:tcW w:w="3617" w:type="pct"/>
          </w:tcPr>
          <w:p w14:paraId="232D9F8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0-100% adjustment through supporting software; support automatic/manual, support setting brightness timing adjustment</w:t>
            </w:r>
          </w:p>
        </w:tc>
      </w:tr>
      <w:tr w14:paraId="0850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1258B2D4">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MTBF</w:t>
            </w:r>
          </w:p>
        </w:tc>
        <w:tc>
          <w:tcPr>
            <w:tcW w:w="3617" w:type="pct"/>
          </w:tcPr>
          <w:p w14:paraId="29EB21F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≥20000H</w:t>
            </w:r>
          </w:p>
        </w:tc>
      </w:tr>
      <w:tr w14:paraId="7B5D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40D72E9A">
            <w:pPr>
              <w:rPr>
                <w:rFonts w:hint="default" w:ascii="Arial" w:hAnsi="Arial" w:cs="Arial"/>
              </w:rPr>
            </w:pPr>
            <w:r>
              <w:rPr>
                <w:rFonts w:hint="default" w:ascii="Arial" w:hAnsi="Arial" w:eastAsia="宋体" w:cs="Arial"/>
                <w:szCs w:val="21"/>
                <w:lang w:val="en-US"/>
              </w:rPr>
              <w:t xml:space="preserve">Lifespan </w:t>
            </w:r>
          </w:p>
        </w:tc>
        <w:tc>
          <w:tcPr>
            <w:tcW w:w="3617" w:type="pct"/>
          </w:tcPr>
          <w:p w14:paraId="1691B92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≥100000H</w:t>
            </w:r>
          </w:p>
        </w:tc>
      </w:tr>
      <w:tr w14:paraId="4E1B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33CC15CA">
            <w:pPr>
              <w:rPr>
                <w:rFonts w:hint="default" w:ascii="Arial" w:hAnsi="Arial" w:cs="Arial"/>
              </w:rPr>
            </w:pPr>
            <w:r>
              <w:rPr>
                <w:rFonts w:hint="default" w:ascii="Arial" w:hAnsi="Arial" w:eastAsia="宋体" w:cs="Arial"/>
                <w:szCs w:val="21"/>
                <w:lang w:val="en-US"/>
              </w:rPr>
              <w:t>Failed rate</w:t>
            </w:r>
          </w:p>
        </w:tc>
        <w:tc>
          <w:tcPr>
            <w:tcW w:w="3617" w:type="pct"/>
          </w:tcPr>
          <w:p w14:paraId="36115F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≤1/100000 and</w:t>
            </w:r>
            <w:r>
              <w:rPr>
                <w:rFonts w:hint="default" w:ascii="Arial" w:hAnsi="Arial" w:eastAsia="宋体" w:cs="Arial"/>
                <w:szCs w:val="21"/>
                <w:lang w:val="en-US"/>
              </w:rPr>
              <w:t xml:space="preserve"> no continuous failed pixels</w:t>
            </w:r>
          </w:p>
        </w:tc>
      </w:tr>
      <w:tr w14:paraId="62D0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33D6CBEC">
            <w:pPr>
              <w:rPr>
                <w:rFonts w:hint="default" w:ascii="Arial" w:hAnsi="Arial" w:cs="Arial"/>
              </w:rPr>
            </w:pPr>
            <w:r>
              <w:rPr>
                <w:rFonts w:hint="default" w:ascii="Arial" w:hAnsi="Arial" w:eastAsia="宋体" w:cs="Arial"/>
                <w:szCs w:val="21"/>
                <w:lang w:val="en-US"/>
              </w:rPr>
              <w:t>Storage temperature</w:t>
            </w:r>
          </w:p>
        </w:tc>
        <w:tc>
          <w:tcPr>
            <w:tcW w:w="3617" w:type="pct"/>
          </w:tcPr>
          <w:p w14:paraId="619F670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-35℃~+85℃</w:t>
            </w:r>
          </w:p>
        </w:tc>
      </w:tr>
      <w:tr w14:paraId="58D7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center"/>
          </w:tcPr>
          <w:p w14:paraId="6424B131">
            <w:pPr>
              <w:rPr>
                <w:rFonts w:hint="default" w:ascii="Arial" w:hAnsi="Arial" w:cs="Arial"/>
              </w:rPr>
            </w:pPr>
            <w:r>
              <w:rPr>
                <w:rFonts w:hint="default" w:ascii="Arial" w:hAnsi="Arial" w:eastAsia="宋体" w:cs="Arial"/>
                <w:szCs w:val="21"/>
                <w:lang w:val="en-US"/>
              </w:rPr>
              <w:t>Working temperature</w:t>
            </w:r>
          </w:p>
        </w:tc>
        <w:tc>
          <w:tcPr>
            <w:tcW w:w="3617" w:type="pct"/>
          </w:tcPr>
          <w:p w14:paraId="73713F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-20℃~+60℃</w:t>
            </w:r>
          </w:p>
        </w:tc>
      </w:tr>
      <w:tr w14:paraId="0167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0A3A312D">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Working voltage (AC)</w:t>
            </w:r>
          </w:p>
        </w:tc>
        <w:tc>
          <w:tcPr>
            <w:tcW w:w="3617" w:type="pct"/>
          </w:tcPr>
          <w:p w14:paraId="62734B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220V±10%/50Hz/60Hz</w:t>
            </w:r>
          </w:p>
        </w:tc>
      </w:tr>
      <w:tr w14:paraId="4B3A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1B9A81C3">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Average power consumption</w:t>
            </w:r>
          </w:p>
        </w:tc>
        <w:tc>
          <w:tcPr>
            <w:tcW w:w="7199" w:type="dxa"/>
            <w:vAlign w:val="top"/>
          </w:tcPr>
          <w:p w14:paraId="4C453259">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cs="Arial"/>
              </w:rPr>
              <w:t>≤125W/</w:t>
            </w:r>
            <w:r>
              <w:rPr>
                <w:rFonts w:hint="default" w:ascii="Arial" w:hAnsi="Arial" w:eastAsia="宋体" w:cs="Arial"/>
                <w:b w:val="0"/>
                <w:bCs w:val="0"/>
                <w:sz w:val="21"/>
                <w:szCs w:val="21"/>
                <w:lang w:val="en-US" w:eastAsia="zh-CN"/>
              </w:rPr>
              <w:t>m²</w:t>
            </w:r>
            <w:r>
              <w:rPr>
                <w:rFonts w:hint="default" w:ascii="Arial" w:hAnsi="Arial" w:cs="Arial"/>
              </w:rPr>
              <w:t xml:space="preserve"> at 800CD/</w:t>
            </w:r>
            <w:r>
              <w:rPr>
                <w:rFonts w:hint="default" w:ascii="Arial" w:hAnsi="Arial" w:eastAsia="宋体" w:cs="Arial"/>
                <w:b w:val="0"/>
                <w:bCs w:val="0"/>
                <w:sz w:val="21"/>
                <w:szCs w:val="21"/>
                <w:lang w:val="en-US" w:eastAsia="zh-CN"/>
              </w:rPr>
              <w:t>m²</w:t>
            </w:r>
            <w:r>
              <w:rPr>
                <w:rFonts w:hint="default" w:ascii="Arial" w:hAnsi="Arial" w:cs="Arial"/>
              </w:rPr>
              <w:t xml:space="preserve"> (≤95W/</w:t>
            </w:r>
            <w:r>
              <w:rPr>
                <w:rFonts w:hint="default" w:ascii="Arial" w:hAnsi="Arial" w:eastAsia="宋体" w:cs="Arial"/>
                <w:b w:val="0"/>
                <w:bCs w:val="0"/>
                <w:sz w:val="21"/>
                <w:szCs w:val="21"/>
                <w:lang w:val="en-US" w:eastAsia="zh-CN"/>
              </w:rPr>
              <w:t>m²</w:t>
            </w:r>
            <w:r>
              <w:rPr>
                <w:rFonts w:hint="default" w:ascii="Arial" w:hAnsi="Arial" w:cs="Arial"/>
              </w:rPr>
              <w:t xml:space="preserve"> at 600CD/</w:t>
            </w:r>
            <w:r>
              <w:rPr>
                <w:rFonts w:hint="default" w:ascii="Arial" w:hAnsi="Arial" w:eastAsia="宋体" w:cs="Arial"/>
                <w:b w:val="0"/>
                <w:bCs w:val="0"/>
                <w:sz w:val="21"/>
                <w:szCs w:val="21"/>
                <w:lang w:val="en-US" w:eastAsia="zh-CN"/>
              </w:rPr>
              <w:t>m²</w:t>
            </w:r>
            <w:r>
              <w:rPr>
                <w:rFonts w:hint="default" w:ascii="Arial" w:hAnsi="Arial" w:cs="Arial"/>
              </w:rPr>
              <w:t>)</w:t>
            </w:r>
          </w:p>
        </w:tc>
      </w:tr>
      <w:tr w14:paraId="0294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1C9986AA">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Maximum power consumption</w:t>
            </w:r>
          </w:p>
        </w:tc>
        <w:tc>
          <w:tcPr>
            <w:tcW w:w="7199" w:type="dxa"/>
            <w:vAlign w:val="top"/>
          </w:tcPr>
          <w:p w14:paraId="669ECE26">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cs="Arial"/>
              </w:rPr>
              <w:t>≤500W/</w:t>
            </w:r>
            <w:r>
              <w:rPr>
                <w:rFonts w:hint="default" w:ascii="Arial" w:hAnsi="Arial" w:eastAsia="宋体" w:cs="Arial"/>
                <w:b w:val="0"/>
                <w:bCs w:val="0"/>
                <w:sz w:val="21"/>
                <w:szCs w:val="21"/>
                <w:lang w:val="en-US" w:eastAsia="zh-CN"/>
              </w:rPr>
              <w:t>m²</w:t>
            </w:r>
            <w:r>
              <w:rPr>
                <w:rFonts w:hint="default" w:ascii="Arial" w:hAnsi="Arial" w:cs="Arial"/>
              </w:rPr>
              <w:t xml:space="preserve"> at 800CD/</w:t>
            </w:r>
            <w:r>
              <w:rPr>
                <w:rFonts w:hint="default" w:ascii="Arial" w:hAnsi="Arial" w:eastAsia="宋体" w:cs="Arial"/>
                <w:b w:val="0"/>
                <w:bCs w:val="0"/>
                <w:sz w:val="21"/>
                <w:szCs w:val="21"/>
                <w:lang w:val="en-US" w:eastAsia="zh-CN"/>
              </w:rPr>
              <w:t>m²</w:t>
            </w:r>
            <w:r>
              <w:rPr>
                <w:rFonts w:hint="default" w:ascii="Arial" w:hAnsi="Arial" w:cs="Arial"/>
              </w:rPr>
              <w:t xml:space="preserve"> (≤380W/</w:t>
            </w:r>
            <w:r>
              <w:rPr>
                <w:rFonts w:hint="default" w:ascii="Arial" w:hAnsi="Arial" w:eastAsia="宋体" w:cs="Arial"/>
                <w:b w:val="0"/>
                <w:bCs w:val="0"/>
                <w:sz w:val="21"/>
                <w:szCs w:val="21"/>
                <w:lang w:val="en-US" w:eastAsia="zh-CN"/>
              </w:rPr>
              <w:t>m²</w:t>
            </w:r>
            <w:r>
              <w:rPr>
                <w:rFonts w:hint="default" w:ascii="Arial" w:hAnsi="Arial" w:cs="Arial"/>
              </w:rPr>
              <w:t xml:space="preserve"> at 600CD/</w:t>
            </w:r>
            <w:r>
              <w:rPr>
                <w:rFonts w:hint="default" w:ascii="Arial" w:hAnsi="Arial" w:eastAsia="宋体" w:cs="Arial"/>
                <w:b w:val="0"/>
                <w:bCs w:val="0"/>
                <w:sz w:val="21"/>
                <w:szCs w:val="21"/>
                <w:lang w:val="en-US" w:eastAsia="zh-CN"/>
              </w:rPr>
              <w:t>m²</w:t>
            </w:r>
            <w:r>
              <w:rPr>
                <w:rFonts w:hint="default" w:ascii="Arial" w:hAnsi="Arial" w:cs="Arial"/>
              </w:rPr>
              <w:t>)</w:t>
            </w:r>
          </w:p>
        </w:tc>
      </w:tr>
      <w:tr w14:paraId="7525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63D16E8F">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szCs w:val="21"/>
                <w:lang w:val="en-US"/>
              </w:rPr>
              <w:t>Cabinet material</w:t>
            </w:r>
          </w:p>
        </w:tc>
        <w:tc>
          <w:tcPr>
            <w:tcW w:w="3617" w:type="pct"/>
          </w:tcPr>
          <w:p w14:paraId="02023AB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Die-cast aluminum cabinet</w:t>
            </w:r>
          </w:p>
        </w:tc>
      </w:tr>
      <w:tr w14:paraId="6DC7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117A2C08">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Brightness uniformity</w:t>
            </w:r>
          </w:p>
        </w:tc>
        <w:tc>
          <w:tcPr>
            <w:tcW w:w="3617" w:type="pct"/>
          </w:tcPr>
          <w:p w14:paraId="273D90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≥99%</w:t>
            </w:r>
          </w:p>
        </w:tc>
      </w:tr>
      <w:tr w14:paraId="7F76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vAlign w:val="top"/>
          </w:tcPr>
          <w:p w14:paraId="76491E03">
            <w:pPr>
              <w:keepNext w:val="0"/>
              <w:keepLines w:val="0"/>
              <w:pageBreakBefore w:val="0"/>
              <w:widowControl w:val="0"/>
              <w:kinsoku/>
              <w:wordWrap/>
              <w:overflowPunct/>
              <w:topLinePunct w:val="0"/>
              <w:autoSpaceDE/>
              <w:autoSpaceDN/>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Protection class</w:t>
            </w:r>
          </w:p>
        </w:tc>
        <w:tc>
          <w:tcPr>
            <w:tcW w:w="3617" w:type="pct"/>
          </w:tcPr>
          <w:p w14:paraId="441C37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eastAsia="宋体" w:cs="Arial"/>
                <w:b w:val="0"/>
                <w:bCs w:val="0"/>
                <w:sz w:val="21"/>
                <w:szCs w:val="21"/>
                <w:lang w:val="en-US" w:eastAsia="zh-CN"/>
              </w:rPr>
              <w:t>IP5X</w:t>
            </w:r>
          </w:p>
        </w:tc>
      </w:tr>
    </w:tbl>
    <w:p w14:paraId="5265BE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p>
    <w:sectPr>
      <w:headerReference r:id="rId3" w:type="default"/>
      <w:pgSz w:w="11906" w:h="16838"/>
      <w:pgMar w:top="1440" w:right="1080" w:bottom="1440" w:left="1080" w:header="0" w:footer="51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B332F">
    <w:pPr>
      <w:pStyle w:val="4"/>
      <w:keepNext w:val="0"/>
      <w:keepLines w:val="0"/>
      <w:pageBreakBefore w:val="0"/>
      <w:widowControl w:val="0"/>
      <w:kinsoku/>
      <w:wordWrap/>
      <w:overflowPunct/>
      <w:topLinePunct w:val="0"/>
      <w:autoSpaceDE/>
      <w:autoSpaceDN/>
      <w:bidi w:val="0"/>
      <w:adjustRightInd/>
      <w:snapToGrid w:val="0"/>
      <w:spacing w:line="288" w:lineRule="auto"/>
      <w:ind w:firstLine="1760" w:firstLineChars="1100"/>
      <w:jc w:val="left"/>
      <w:textAlignment w:val="auto"/>
      <w:rPr>
        <w:rFonts w:hint="default"/>
        <w:sz w:val="16"/>
        <w:szCs w:val="21"/>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EF05FC"/>
    <w:multiLevelType w:val="singleLevel"/>
    <w:tmpl w:val="53EF05FC"/>
    <w:lvl w:ilvl="0" w:tentative="0">
      <w:start w:val="1"/>
      <w:numFmt w:val="bullet"/>
      <w:lvlText w:val="*"/>
      <w:lvlJc w:val="left"/>
      <w:pPr>
        <w:ind w:left="420" w:leftChars="0" w:hanging="420" w:firstLineChars="0"/>
      </w:pPr>
      <w:rPr>
        <w:rFonts w:hint="default" w:ascii="微软雅黑" w:hAnsi="微软雅黑" w:eastAsia="微软雅黑" w:cs="微软雅黑"/>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4OWE5NjMzOTNiNWI2ZGUxMDMzZDBlZGEwMGZjMWEifQ=="/>
  </w:docVars>
  <w:rsids>
    <w:rsidRoot w:val="00FB587E"/>
    <w:rsid w:val="002C6DC3"/>
    <w:rsid w:val="00842AE0"/>
    <w:rsid w:val="00BC1E7F"/>
    <w:rsid w:val="00E516B3"/>
    <w:rsid w:val="00FB587E"/>
    <w:rsid w:val="00FF4FD6"/>
    <w:rsid w:val="023D07CE"/>
    <w:rsid w:val="02E95AA8"/>
    <w:rsid w:val="07EA5F9A"/>
    <w:rsid w:val="08681B10"/>
    <w:rsid w:val="08E91E8B"/>
    <w:rsid w:val="09507B23"/>
    <w:rsid w:val="09AD19F9"/>
    <w:rsid w:val="0C4C278B"/>
    <w:rsid w:val="0CD30ACA"/>
    <w:rsid w:val="0DB47C12"/>
    <w:rsid w:val="0DEC55AB"/>
    <w:rsid w:val="0F600F55"/>
    <w:rsid w:val="0F9D0ECD"/>
    <w:rsid w:val="11E93F48"/>
    <w:rsid w:val="11EE7D79"/>
    <w:rsid w:val="1206351F"/>
    <w:rsid w:val="13CB162A"/>
    <w:rsid w:val="147B5916"/>
    <w:rsid w:val="169B5E93"/>
    <w:rsid w:val="17E44813"/>
    <w:rsid w:val="17F82E44"/>
    <w:rsid w:val="18B57797"/>
    <w:rsid w:val="19E56A59"/>
    <w:rsid w:val="1A68759E"/>
    <w:rsid w:val="1AC9437D"/>
    <w:rsid w:val="1C1A2027"/>
    <w:rsid w:val="1D453EBB"/>
    <w:rsid w:val="1E8B2EE7"/>
    <w:rsid w:val="1EA450FF"/>
    <w:rsid w:val="1EB839BF"/>
    <w:rsid w:val="21FE06AE"/>
    <w:rsid w:val="22572D4B"/>
    <w:rsid w:val="2380353E"/>
    <w:rsid w:val="23D556FB"/>
    <w:rsid w:val="24D63DDD"/>
    <w:rsid w:val="280527C1"/>
    <w:rsid w:val="288F53F1"/>
    <w:rsid w:val="28D23530"/>
    <w:rsid w:val="2A6E3C7C"/>
    <w:rsid w:val="2A6E566B"/>
    <w:rsid w:val="2C5D17EA"/>
    <w:rsid w:val="2D0068BE"/>
    <w:rsid w:val="2E7C094A"/>
    <w:rsid w:val="2EB564A4"/>
    <w:rsid w:val="2F0971EC"/>
    <w:rsid w:val="30973C91"/>
    <w:rsid w:val="329774D6"/>
    <w:rsid w:val="34C7385E"/>
    <w:rsid w:val="3705017C"/>
    <w:rsid w:val="38037986"/>
    <w:rsid w:val="388953C0"/>
    <w:rsid w:val="38C26F1C"/>
    <w:rsid w:val="38F42FE5"/>
    <w:rsid w:val="395C7994"/>
    <w:rsid w:val="396C65B9"/>
    <w:rsid w:val="3BE34CF1"/>
    <w:rsid w:val="3C003B48"/>
    <w:rsid w:val="41606B31"/>
    <w:rsid w:val="42FF1EE5"/>
    <w:rsid w:val="44022AC4"/>
    <w:rsid w:val="44A20988"/>
    <w:rsid w:val="48107AA2"/>
    <w:rsid w:val="486D4A30"/>
    <w:rsid w:val="49512D0C"/>
    <w:rsid w:val="49877032"/>
    <w:rsid w:val="4AC75EBD"/>
    <w:rsid w:val="4C525FA7"/>
    <w:rsid w:val="4C572BCB"/>
    <w:rsid w:val="4CD14A49"/>
    <w:rsid w:val="4DB23EB3"/>
    <w:rsid w:val="4FA6073A"/>
    <w:rsid w:val="503C55AF"/>
    <w:rsid w:val="50BD0174"/>
    <w:rsid w:val="513C46BE"/>
    <w:rsid w:val="51B263E3"/>
    <w:rsid w:val="538C4158"/>
    <w:rsid w:val="54710333"/>
    <w:rsid w:val="548947BC"/>
    <w:rsid w:val="54BB79BA"/>
    <w:rsid w:val="551418E8"/>
    <w:rsid w:val="552936A7"/>
    <w:rsid w:val="56CE000B"/>
    <w:rsid w:val="57F250B2"/>
    <w:rsid w:val="58187AC1"/>
    <w:rsid w:val="58244842"/>
    <w:rsid w:val="58324780"/>
    <w:rsid w:val="5D6A0C29"/>
    <w:rsid w:val="5DED7EE9"/>
    <w:rsid w:val="5E106CCF"/>
    <w:rsid w:val="5EB77BB0"/>
    <w:rsid w:val="607522CE"/>
    <w:rsid w:val="619B5E52"/>
    <w:rsid w:val="62DB5424"/>
    <w:rsid w:val="63BE0AB1"/>
    <w:rsid w:val="63F624BA"/>
    <w:rsid w:val="659802D3"/>
    <w:rsid w:val="662A127B"/>
    <w:rsid w:val="67CE2E4D"/>
    <w:rsid w:val="68A97CC5"/>
    <w:rsid w:val="68F121F5"/>
    <w:rsid w:val="695974BA"/>
    <w:rsid w:val="69DE6478"/>
    <w:rsid w:val="69E563C8"/>
    <w:rsid w:val="69FF6F72"/>
    <w:rsid w:val="6A0546FF"/>
    <w:rsid w:val="6CB529EA"/>
    <w:rsid w:val="6CE05FCC"/>
    <w:rsid w:val="6CF57A36"/>
    <w:rsid w:val="6E827A5B"/>
    <w:rsid w:val="70421BFF"/>
    <w:rsid w:val="70FA5221"/>
    <w:rsid w:val="71671037"/>
    <w:rsid w:val="719D4DAB"/>
    <w:rsid w:val="720A05D0"/>
    <w:rsid w:val="7232276A"/>
    <w:rsid w:val="72C106B3"/>
    <w:rsid w:val="75D47DBB"/>
    <w:rsid w:val="7B905AD3"/>
    <w:rsid w:val="7C426AF3"/>
    <w:rsid w:val="7ED10B3B"/>
    <w:rsid w:val="7FD82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批注框文本 字符"/>
    <w:basedOn w:val="7"/>
    <w:link w:val="2"/>
    <w:semiHidden/>
    <w:qFormat/>
    <w:uiPriority w:val="99"/>
    <w:rPr>
      <w:sz w:val="18"/>
      <w:szCs w:val="18"/>
    </w:rPr>
  </w:style>
  <w:style w:type="paragraph" w:customStyle="1" w:styleId="9">
    <w:name w:val="列出段落1"/>
    <w:basedOn w:val="1"/>
    <w:qFormat/>
    <w:uiPriority w:val="34"/>
    <w:pPr>
      <w:ind w:firstLine="420" w:firstLineChars="200"/>
    </w:pPr>
  </w:style>
  <w:style w:type="paragraph" w:customStyle="1" w:styleId="10">
    <w:name w:val="_Style 1"/>
    <w:basedOn w:val="1"/>
    <w:qFormat/>
    <w:uiPriority w:val="99"/>
    <w:pPr>
      <w:ind w:firstLine="420" w:firstLineChars="200"/>
    </w:p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ITC</Company>
  <Pages>5</Pages>
  <Words>1086</Words>
  <Characters>5908</Characters>
  <Lines>6</Lines>
  <Paragraphs>1</Paragraphs>
  <TotalTime>0</TotalTime>
  <ScaleCrop>false</ScaleCrop>
  <LinksUpToDate>false</LinksUpToDate>
  <CharactersWithSpaces>6873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2017-09-12T11:02:00Z</dcterms:created>
  <dc:creator>itcxb-xxx</dc:creator>
  <cp:lastModifiedBy>怀瑾今天读书了吗</cp:lastModifiedBy>
  <dcterms:modified xsi:type="dcterms:W3CDTF">2026-06-26T01:26:36Z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7FA1B101FC064780AB1508322EC276AE_13</vt:lpwstr>
  </property>
  <property fmtid="{D5CDD505-2E9C-101B-9397-08002B2CF9AE}" pid="4" name="KSOTemplateDocerSaveRecord">
    <vt:lpwstr>eyJoZGlkIjoiYTM2NjRhMDdkNjlkYjFiODhlNzI1Y2YzYmE0OTYwYzMiLCJ1c2VySWQiOiI4NzM2NDA2OTkifQ==</vt:lpwstr>
  </property>
</Properties>
</file>